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7509D" w14:textId="77777777" w:rsidR="000E1C54" w:rsidRPr="00352A10" w:rsidRDefault="000E1C54" w:rsidP="000E1C54">
      <w:pPr>
        <w:pStyle w:val="Annexure"/>
        <w:pageBreakBefore w:val="0"/>
        <w:numPr>
          <w:ilvl w:val="0"/>
          <w:numId w:val="0"/>
        </w:numPr>
        <w:spacing w:before="0" w:after="0"/>
        <w:rPr>
          <w:rFonts w:cs="Arial"/>
          <w:szCs w:val="22"/>
          <w:lang w:val="en-GB"/>
        </w:rPr>
      </w:pPr>
      <w:bookmarkStart w:id="0" w:name="_Toc477529166"/>
      <w:bookmarkStart w:id="1" w:name="_Toc249756213"/>
      <w:bookmarkStart w:id="2" w:name="_Toc249761749"/>
      <w:bookmarkStart w:id="3" w:name="_Toc249761847"/>
      <w:r w:rsidRPr="00743BE6">
        <w:rPr>
          <w:rFonts w:cs="Arial"/>
          <w:szCs w:val="22"/>
          <w:lang w:val="en-GB"/>
        </w:rPr>
        <w:t>Annexure</w:t>
      </w:r>
      <w:r>
        <w:rPr>
          <w:rFonts w:cs="Arial"/>
          <w:szCs w:val="22"/>
          <w:lang w:val="en-GB"/>
        </w:rPr>
        <w:t xml:space="preserve"> D</w:t>
      </w:r>
      <w:r w:rsidRPr="00352A10">
        <w:rPr>
          <w:rFonts w:cs="Arial"/>
          <w:szCs w:val="22"/>
          <w:lang w:val="en-GB"/>
        </w:rPr>
        <w:tab/>
        <w:t>Issues for Consultation</w:t>
      </w:r>
      <w:bookmarkEnd w:id="0"/>
      <w:r w:rsidRPr="00352A10">
        <w:rPr>
          <w:rFonts w:cs="Arial"/>
          <w:szCs w:val="22"/>
          <w:lang w:val="en-GB"/>
        </w:rPr>
        <w:t xml:space="preserve"> </w:t>
      </w:r>
      <w:bookmarkEnd w:id="1"/>
      <w:bookmarkEnd w:id="2"/>
      <w:bookmarkEnd w:id="3"/>
    </w:p>
    <w:p w14:paraId="0ACC5AA0" w14:textId="77777777" w:rsidR="000E1C54" w:rsidRPr="00352A10" w:rsidRDefault="000E1C54" w:rsidP="000E1C54">
      <w:pPr>
        <w:spacing w:after="0"/>
        <w:ind w:left="86"/>
        <w:rPr>
          <w:rFonts w:ascii="Arial" w:hAnsi="Arial" w:cs="Arial"/>
          <w:szCs w:val="24"/>
          <w:lang w:val="en-GB"/>
        </w:rPr>
      </w:pPr>
    </w:p>
    <w:p w14:paraId="5CBD5975" w14:textId="77777777" w:rsidR="000E1C54" w:rsidRPr="00352A10" w:rsidRDefault="000E1C54" w:rsidP="000E1C54">
      <w:pPr>
        <w:spacing w:after="0"/>
        <w:ind w:left="86"/>
        <w:rPr>
          <w:rFonts w:ascii="Arial" w:hAnsi="Arial" w:cs="Arial"/>
          <w:szCs w:val="24"/>
          <w:lang w:val="en-GB"/>
        </w:rPr>
      </w:pPr>
      <w:r w:rsidRPr="00352A10">
        <w:rPr>
          <w:rFonts w:ascii="Arial" w:hAnsi="Arial" w:cs="Arial"/>
          <w:szCs w:val="24"/>
          <w:lang w:val="en-GB"/>
        </w:rPr>
        <w:t>Regulatory Policy &amp; Advisory</w:t>
      </w:r>
    </w:p>
    <w:p w14:paraId="671DBEB9" w14:textId="77777777" w:rsidR="000E1C54" w:rsidRPr="00352A10" w:rsidRDefault="000E1C54" w:rsidP="000E1C54">
      <w:pPr>
        <w:spacing w:after="0"/>
        <w:ind w:left="86"/>
        <w:rPr>
          <w:rFonts w:ascii="Arial" w:hAnsi="Arial" w:cs="Arial"/>
          <w:szCs w:val="24"/>
          <w:lang w:val="en-GB"/>
        </w:rPr>
      </w:pPr>
      <w:r w:rsidRPr="00352A10">
        <w:rPr>
          <w:rFonts w:ascii="Arial" w:hAnsi="Arial" w:cs="Arial"/>
          <w:szCs w:val="24"/>
          <w:lang w:val="en-GB"/>
        </w:rPr>
        <w:t>Bursa Malaysia Securities Berhad</w:t>
      </w:r>
    </w:p>
    <w:p w14:paraId="7B2A9FDC" w14:textId="77777777" w:rsidR="000E1C54" w:rsidRPr="00352A10" w:rsidRDefault="000E1C54" w:rsidP="000E1C54">
      <w:pPr>
        <w:spacing w:after="0"/>
        <w:ind w:left="86"/>
        <w:rPr>
          <w:rFonts w:ascii="Arial" w:hAnsi="Arial" w:cs="Arial"/>
          <w:szCs w:val="24"/>
          <w:lang w:val="en-GB"/>
        </w:rPr>
      </w:pPr>
      <w:r w:rsidRPr="00352A10">
        <w:rPr>
          <w:rFonts w:ascii="Arial" w:hAnsi="Arial" w:cs="Arial"/>
          <w:szCs w:val="24"/>
          <w:lang w:val="en-GB"/>
        </w:rPr>
        <w:t>9</w:t>
      </w:r>
      <w:r w:rsidRPr="00352A10">
        <w:rPr>
          <w:rFonts w:ascii="Arial" w:hAnsi="Arial" w:cs="Arial"/>
          <w:szCs w:val="24"/>
          <w:vertAlign w:val="superscript"/>
          <w:lang w:val="en-GB"/>
        </w:rPr>
        <w:t>th</w:t>
      </w:r>
      <w:r w:rsidRPr="00352A10">
        <w:rPr>
          <w:rFonts w:ascii="Arial" w:hAnsi="Arial" w:cs="Arial"/>
          <w:szCs w:val="24"/>
          <w:lang w:val="en-GB"/>
        </w:rPr>
        <w:t xml:space="preserve"> Floor, Exchange Square</w:t>
      </w:r>
    </w:p>
    <w:p w14:paraId="2D43C744" w14:textId="77777777" w:rsidR="000E1C54" w:rsidRPr="00352A10" w:rsidRDefault="000E1C54" w:rsidP="000E1C54">
      <w:pPr>
        <w:spacing w:after="0"/>
        <w:ind w:left="86"/>
        <w:rPr>
          <w:rFonts w:ascii="Arial" w:hAnsi="Arial" w:cs="Arial"/>
          <w:szCs w:val="24"/>
          <w:lang w:val="en-GB"/>
        </w:rPr>
      </w:pPr>
      <w:r w:rsidRPr="00352A10">
        <w:rPr>
          <w:rFonts w:ascii="Arial" w:hAnsi="Arial" w:cs="Arial"/>
          <w:szCs w:val="24"/>
          <w:lang w:val="en-GB"/>
        </w:rPr>
        <w:t>Bukit Kewangan</w:t>
      </w:r>
    </w:p>
    <w:p w14:paraId="1C40376C" w14:textId="77777777" w:rsidR="000E1C54" w:rsidRPr="00743BE6" w:rsidRDefault="000E1C54" w:rsidP="000E1C54">
      <w:pPr>
        <w:spacing w:after="0"/>
        <w:ind w:left="86"/>
        <w:rPr>
          <w:rFonts w:ascii="Arial" w:hAnsi="Arial" w:cs="Arial"/>
          <w:szCs w:val="24"/>
          <w:lang w:val="en-GB"/>
        </w:rPr>
      </w:pPr>
      <w:r w:rsidRPr="00352A10">
        <w:rPr>
          <w:rFonts w:ascii="Arial" w:hAnsi="Arial" w:cs="Arial"/>
          <w:szCs w:val="24"/>
          <w:lang w:val="en-GB"/>
        </w:rPr>
        <w:t>50200 Kuala Lumpur</w:t>
      </w:r>
    </w:p>
    <w:p w14:paraId="669AFB28" w14:textId="77777777" w:rsidR="000E1C54" w:rsidRPr="00EE0B59" w:rsidRDefault="000E1C54" w:rsidP="000E1C54">
      <w:pPr>
        <w:spacing w:after="0"/>
        <w:ind w:left="86"/>
        <w:rPr>
          <w:rFonts w:ascii="Arial" w:hAnsi="Arial" w:cs="Arial"/>
          <w:b/>
          <w:szCs w:val="24"/>
          <w:lang w:val="en-GB"/>
        </w:rPr>
      </w:pPr>
      <w:r w:rsidRPr="00352A10">
        <w:rPr>
          <w:rFonts w:ascii="Arial" w:hAnsi="Arial" w:cs="Arial"/>
          <w:szCs w:val="24"/>
          <w:lang w:val="en-GB"/>
        </w:rPr>
        <w:t xml:space="preserve">Electronic mail:  </w:t>
      </w:r>
      <w:hyperlink r:id="rId10" w:history="1">
        <w:r w:rsidRPr="00EE0B59">
          <w:rPr>
            <w:rStyle w:val="Hyperlink"/>
            <w:rFonts w:ascii="Arial" w:hAnsi="Arial" w:cs="Arial"/>
            <w:b/>
            <w:szCs w:val="24"/>
            <w:lang w:val="en-GB"/>
          </w:rPr>
          <w:t>norlailamohamad@bursamalaysia.com</w:t>
        </w:r>
      </w:hyperlink>
      <w:r w:rsidRPr="00EE0B59">
        <w:rPr>
          <w:rFonts w:ascii="Arial" w:hAnsi="Arial" w:cs="Arial"/>
          <w:b/>
          <w:szCs w:val="24"/>
          <w:u w:val="single"/>
          <w:lang w:val="en-GB"/>
        </w:rPr>
        <w:t xml:space="preserve"> </w:t>
      </w:r>
      <w:hyperlink r:id="rId11" w:history="1"/>
    </w:p>
    <w:p w14:paraId="62A20DF6" w14:textId="77777777" w:rsidR="000E1C54" w:rsidRPr="00743BE6" w:rsidRDefault="000E1C54" w:rsidP="000E1C54">
      <w:pPr>
        <w:spacing w:after="0"/>
        <w:ind w:left="86"/>
        <w:rPr>
          <w:rFonts w:ascii="Arial" w:hAnsi="Arial" w:cs="Arial"/>
          <w:szCs w:val="24"/>
          <w:lang w:val="en-GB"/>
        </w:rPr>
      </w:pPr>
      <w:r w:rsidRPr="00743BE6">
        <w:rPr>
          <w:rFonts w:ascii="Arial" w:hAnsi="Arial" w:cs="Arial"/>
          <w:szCs w:val="24"/>
          <w:lang w:val="en-GB"/>
        </w:rPr>
        <w:t>Facsimile: +603-</w:t>
      </w:r>
      <w:r w:rsidRPr="00743BE6">
        <w:rPr>
          <w:rFonts w:ascii="Arial" w:hAnsi="Arial" w:cs="Arial"/>
          <w:szCs w:val="24"/>
        </w:rPr>
        <w:t>27320065</w:t>
      </w:r>
    </w:p>
    <w:p w14:paraId="7DFE8DCD" w14:textId="77777777" w:rsidR="000E1C54" w:rsidRPr="00743BE6" w:rsidRDefault="000E1C54" w:rsidP="000E1C54">
      <w:pPr>
        <w:spacing w:after="0"/>
        <w:ind w:left="86" w:right="-180"/>
        <w:rPr>
          <w:rFonts w:ascii="Arial" w:hAnsi="Arial" w:cs="Arial"/>
        </w:rPr>
      </w:pPr>
      <w:r w:rsidRPr="00743BE6">
        <w:rPr>
          <w:rFonts w:ascii="Arial" w:hAnsi="Arial" w:cs="Arial"/>
        </w:rPr>
        <w:t>______________________________________________________________</w:t>
      </w:r>
    </w:p>
    <w:p w14:paraId="2992DFD8" w14:textId="77777777" w:rsidR="000E1C54" w:rsidRPr="00743BE6" w:rsidRDefault="000E1C54" w:rsidP="000E1C54">
      <w:pPr>
        <w:tabs>
          <w:tab w:val="left" w:pos="4320"/>
        </w:tabs>
        <w:spacing w:after="0"/>
        <w:ind w:left="86"/>
        <w:rPr>
          <w:rFonts w:ascii="Arial" w:hAnsi="Arial" w:cs="Arial"/>
          <w:sz w:val="20"/>
        </w:rPr>
      </w:pPr>
    </w:p>
    <w:tbl>
      <w:tblPr>
        <w:tblW w:w="14202" w:type="dxa"/>
        <w:tblInd w:w="108" w:type="dxa"/>
        <w:tblLayout w:type="fixed"/>
        <w:tblLook w:val="04A0" w:firstRow="1" w:lastRow="0" w:firstColumn="1" w:lastColumn="0" w:noHBand="0" w:noVBand="1"/>
      </w:tblPr>
      <w:tblGrid>
        <w:gridCol w:w="4932"/>
        <w:gridCol w:w="450"/>
        <w:gridCol w:w="8820"/>
      </w:tblGrid>
      <w:tr w:rsidR="000E1C54" w:rsidRPr="000E1C54" w14:paraId="2F77DA19" w14:textId="77777777" w:rsidTr="000E1C54">
        <w:tc>
          <w:tcPr>
            <w:tcW w:w="4932" w:type="dxa"/>
          </w:tcPr>
          <w:p w14:paraId="02A22A61" w14:textId="77777777" w:rsidR="000E1C54" w:rsidRPr="000E1C54" w:rsidRDefault="000E1C54" w:rsidP="000E1C54">
            <w:pPr>
              <w:tabs>
                <w:tab w:val="left" w:pos="4320"/>
              </w:tabs>
              <w:spacing w:after="0"/>
              <w:ind w:left="-36"/>
              <w:rPr>
                <w:rFonts w:ascii="Arial" w:hAnsi="Arial" w:cs="Arial"/>
                <w:bCs/>
                <w:szCs w:val="24"/>
                <w:lang w:val="en-GB"/>
              </w:rPr>
            </w:pPr>
            <w:r w:rsidRPr="000E1C54">
              <w:rPr>
                <w:rFonts w:ascii="Arial" w:hAnsi="Arial" w:cs="Arial"/>
                <w:bCs/>
                <w:szCs w:val="24"/>
                <w:lang w:val="en-GB"/>
              </w:rPr>
              <w:t>NAME OF RESPONDENT</w:t>
            </w:r>
          </w:p>
          <w:p w14:paraId="2240749A" w14:textId="77777777" w:rsidR="000E1C54" w:rsidRPr="000E1C54" w:rsidRDefault="000E1C54" w:rsidP="000E1C54">
            <w:pPr>
              <w:tabs>
                <w:tab w:val="left" w:pos="4320"/>
              </w:tabs>
              <w:spacing w:after="0"/>
              <w:ind w:left="-36"/>
              <w:rPr>
                <w:rFonts w:ascii="Arial" w:hAnsi="Arial" w:cs="Arial"/>
                <w:bCs/>
                <w:szCs w:val="24"/>
                <w:lang w:val="en-GB"/>
              </w:rPr>
            </w:pPr>
            <w:r w:rsidRPr="000E1C54">
              <w:rPr>
                <w:rFonts w:ascii="Arial" w:hAnsi="Arial" w:cs="Arial"/>
                <w:bCs/>
                <w:szCs w:val="24"/>
                <w:lang w:val="en-GB"/>
              </w:rPr>
              <w:tab/>
            </w:r>
          </w:p>
        </w:tc>
        <w:tc>
          <w:tcPr>
            <w:tcW w:w="450" w:type="dxa"/>
          </w:tcPr>
          <w:p w14:paraId="1DC5F59E" w14:textId="77777777" w:rsidR="000E1C54" w:rsidRPr="000E1C54" w:rsidRDefault="000E1C54" w:rsidP="000E1C54">
            <w:pPr>
              <w:tabs>
                <w:tab w:val="left" w:pos="4320"/>
              </w:tabs>
              <w:spacing w:after="0"/>
              <w:ind w:left="86"/>
              <w:rPr>
                <w:rFonts w:ascii="Arial" w:hAnsi="Arial" w:cs="Arial"/>
                <w:b/>
                <w:bCs/>
                <w:szCs w:val="24"/>
                <w:lang w:val="en-GB"/>
              </w:rPr>
            </w:pPr>
            <w:r w:rsidRPr="000E1C54">
              <w:rPr>
                <w:rFonts w:ascii="Arial" w:hAnsi="Arial" w:cs="Arial"/>
                <w:b/>
                <w:bCs/>
                <w:szCs w:val="24"/>
                <w:lang w:val="en-GB"/>
              </w:rPr>
              <w:t>:</w:t>
            </w:r>
          </w:p>
        </w:tc>
        <w:tc>
          <w:tcPr>
            <w:tcW w:w="8820" w:type="dxa"/>
          </w:tcPr>
          <w:p w14:paraId="4E6C6552" w14:textId="77777777" w:rsidR="000E1C54" w:rsidRPr="000E1C54" w:rsidRDefault="000E1C54" w:rsidP="000E1C54">
            <w:pPr>
              <w:tabs>
                <w:tab w:val="left" w:pos="4320"/>
              </w:tabs>
              <w:spacing w:after="0"/>
              <w:ind w:left="86"/>
              <w:rPr>
                <w:rFonts w:ascii="Arial" w:hAnsi="Arial" w:cs="Arial"/>
                <w:b/>
                <w:bCs/>
                <w:szCs w:val="24"/>
                <w:lang w:val="en-GB"/>
              </w:rPr>
            </w:pPr>
          </w:p>
        </w:tc>
      </w:tr>
      <w:tr w:rsidR="000E1C54" w:rsidRPr="000E1C54" w14:paraId="5B091E39" w14:textId="77777777" w:rsidTr="000E1C54">
        <w:tc>
          <w:tcPr>
            <w:tcW w:w="4932" w:type="dxa"/>
          </w:tcPr>
          <w:p w14:paraId="23F6CCB9" w14:textId="77777777" w:rsidR="000E1C54" w:rsidRPr="000E1C54" w:rsidRDefault="000E1C54" w:rsidP="000E1C54">
            <w:pPr>
              <w:tabs>
                <w:tab w:val="left" w:pos="4320"/>
              </w:tabs>
              <w:spacing w:after="0"/>
              <w:ind w:left="-36"/>
              <w:rPr>
                <w:rFonts w:ascii="Arial" w:hAnsi="Arial" w:cs="Arial"/>
                <w:bCs/>
                <w:szCs w:val="24"/>
                <w:lang w:val="en-GB"/>
              </w:rPr>
            </w:pPr>
            <w:r w:rsidRPr="000E1C54">
              <w:rPr>
                <w:rFonts w:ascii="Arial" w:hAnsi="Arial" w:cs="Arial"/>
                <w:bCs/>
                <w:szCs w:val="24"/>
                <w:lang w:val="en-GB"/>
              </w:rPr>
              <w:t>CONTACT PERSON &amp; CONTACT NUMBER</w:t>
            </w:r>
          </w:p>
          <w:p w14:paraId="4E188E4D" w14:textId="77777777" w:rsidR="000E1C54" w:rsidRPr="000E1C54" w:rsidRDefault="000E1C54" w:rsidP="000E1C54">
            <w:pPr>
              <w:tabs>
                <w:tab w:val="left" w:pos="4320"/>
              </w:tabs>
              <w:spacing w:after="0"/>
              <w:ind w:left="-36"/>
              <w:rPr>
                <w:rFonts w:ascii="Arial" w:hAnsi="Arial" w:cs="Arial"/>
                <w:bCs/>
                <w:szCs w:val="24"/>
                <w:lang w:val="en-GB"/>
              </w:rPr>
            </w:pPr>
          </w:p>
        </w:tc>
        <w:tc>
          <w:tcPr>
            <w:tcW w:w="450" w:type="dxa"/>
          </w:tcPr>
          <w:p w14:paraId="1F18098D" w14:textId="77777777" w:rsidR="000E1C54" w:rsidRPr="000E1C54" w:rsidRDefault="000E1C54" w:rsidP="000E1C54">
            <w:pPr>
              <w:tabs>
                <w:tab w:val="left" w:pos="4320"/>
              </w:tabs>
              <w:spacing w:after="0"/>
              <w:ind w:left="86"/>
              <w:rPr>
                <w:rFonts w:ascii="Arial" w:hAnsi="Arial" w:cs="Arial"/>
                <w:b/>
                <w:bCs/>
                <w:szCs w:val="24"/>
                <w:lang w:val="en-GB"/>
              </w:rPr>
            </w:pPr>
            <w:r w:rsidRPr="000E1C54">
              <w:rPr>
                <w:rFonts w:ascii="Arial" w:hAnsi="Arial" w:cs="Arial"/>
                <w:b/>
                <w:bCs/>
                <w:szCs w:val="24"/>
                <w:lang w:val="en-GB"/>
              </w:rPr>
              <w:t>:</w:t>
            </w:r>
          </w:p>
        </w:tc>
        <w:tc>
          <w:tcPr>
            <w:tcW w:w="8820" w:type="dxa"/>
          </w:tcPr>
          <w:p w14:paraId="78331713" w14:textId="77777777" w:rsidR="000E1C54" w:rsidRPr="000E1C54" w:rsidRDefault="000E1C54" w:rsidP="000E1C54">
            <w:pPr>
              <w:tabs>
                <w:tab w:val="left" w:pos="4320"/>
              </w:tabs>
              <w:spacing w:after="0"/>
              <w:ind w:left="86"/>
              <w:rPr>
                <w:rFonts w:ascii="Arial" w:hAnsi="Arial" w:cs="Arial"/>
                <w:b/>
                <w:bCs/>
                <w:szCs w:val="24"/>
                <w:lang w:val="en-GB"/>
              </w:rPr>
            </w:pPr>
          </w:p>
        </w:tc>
      </w:tr>
      <w:tr w:rsidR="000E1C54" w:rsidRPr="000E1C54" w14:paraId="1E7B8CB1" w14:textId="77777777" w:rsidTr="000E1C54">
        <w:tc>
          <w:tcPr>
            <w:tcW w:w="4932" w:type="dxa"/>
          </w:tcPr>
          <w:p w14:paraId="07D96753" w14:textId="77777777" w:rsidR="000E1C54" w:rsidRPr="000E1C54" w:rsidRDefault="000E1C54" w:rsidP="000E1C54">
            <w:pPr>
              <w:tabs>
                <w:tab w:val="left" w:pos="4320"/>
              </w:tabs>
              <w:spacing w:after="0"/>
              <w:ind w:left="-36"/>
              <w:rPr>
                <w:rFonts w:ascii="Arial" w:hAnsi="Arial" w:cs="Arial"/>
                <w:bCs/>
                <w:szCs w:val="24"/>
                <w:lang w:val="en-GB"/>
              </w:rPr>
            </w:pPr>
            <w:r w:rsidRPr="000E1C54">
              <w:rPr>
                <w:rFonts w:ascii="Arial" w:hAnsi="Arial" w:cs="Arial"/>
                <w:bCs/>
                <w:szCs w:val="24"/>
                <w:lang w:val="en-GB"/>
              </w:rPr>
              <w:t>EMAIL ADDRESS</w:t>
            </w:r>
          </w:p>
          <w:p w14:paraId="3A5D7CDF" w14:textId="77777777" w:rsidR="000E1C54" w:rsidRPr="000E1C54" w:rsidRDefault="000E1C54" w:rsidP="000E1C54">
            <w:pPr>
              <w:tabs>
                <w:tab w:val="left" w:pos="4320"/>
              </w:tabs>
              <w:spacing w:after="0"/>
              <w:ind w:left="-36"/>
              <w:rPr>
                <w:rFonts w:ascii="Arial" w:hAnsi="Arial" w:cs="Arial"/>
                <w:bCs/>
                <w:szCs w:val="24"/>
                <w:lang w:val="en-GB"/>
              </w:rPr>
            </w:pPr>
          </w:p>
        </w:tc>
        <w:tc>
          <w:tcPr>
            <w:tcW w:w="450" w:type="dxa"/>
          </w:tcPr>
          <w:p w14:paraId="2F8C46D0" w14:textId="77777777" w:rsidR="000E1C54" w:rsidRPr="000E1C54" w:rsidRDefault="000E1C54" w:rsidP="000E1C54">
            <w:pPr>
              <w:tabs>
                <w:tab w:val="left" w:pos="4320"/>
              </w:tabs>
              <w:spacing w:after="0"/>
              <w:ind w:left="86"/>
              <w:rPr>
                <w:rFonts w:ascii="Arial" w:hAnsi="Arial" w:cs="Arial"/>
                <w:b/>
                <w:bCs/>
                <w:szCs w:val="24"/>
                <w:lang w:val="en-GB"/>
              </w:rPr>
            </w:pPr>
            <w:r w:rsidRPr="000E1C54">
              <w:rPr>
                <w:rFonts w:ascii="Arial" w:hAnsi="Arial" w:cs="Arial"/>
                <w:b/>
                <w:bCs/>
                <w:szCs w:val="24"/>
                <w:lang w:val="en-GB"/>
              </w:rPr>
              <w:t>:</w:t>
            </w:r>
          </w:p>
        </w:tc>
        <w:tc>
          <w:tcPr>
            <w:tcW w:w="8820" w:type="dxa"/>
          </w:tcPr>
          <w:p w14:paraId="33855E33" w14:textId="77777777" w:rsidR="000E1C54" w:rsidRPr="000E1C54" w:rsidRDefault="000E1C54" w:rsidP="000E1C54">
            <w:pPr>
              <w:tabs>
                <w:tab w:val="left" w:pos="4320"/>
              </w:tabs>
              <w:spacing w:after="0"/>
              <w:ind w:left="86"/>
              <w:rPr>
                <w:rFonts w:ascii="Arial" w:hAnsi="Arial" w:cs="Arial"/>
                <w:b/>
                <w:bCs/>
                <w:szCs w:val="24"/>
                <w:lang w:val="en-GB"/>
              </w:rPr>
            </w:pPr>
          </w:p>
        </w:tc>
      </w:tr>
    </w:tbl>
    <w:p w14:paraId="04D124B1" w14:textId="77777777" w:rsidR="000E1C54" w:rsidRPr="00743BE6" w:rsidRDefault="000E1C54" w:rsidP="000E1C54">
      <w:pPr>
        <w:spacing w:after="0"/>
        <w:rPr>
          <w:rFonts w:ascii="Arial" w:hAnsi="Arial" w:cs="Arial"/>
          <w:szCs w:val="24"/>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45"/>
        <w:gridCol w:w="7229"/>
      </w:tblGrid>
      <w:tr w:rsidR="000E1C54" w:rsidRPr="00743BE6" w14:paraId="1A319198" w14:textId="77777777" w:rsidTr="003B1D7D">
        <w:trPr>
          <w:trHeight w:val="316"/>
          <w:tblHeader/>
        </w:trPr>
        <w:tc>
          <w:tcPr>
            <w:tcW w:w="630" w:type="dxa"/>
            <w:shd w:val="clear" w:color="auto" w:fill="E0E0E0"/>
          </w:tcPr>
          <w:p w14:paraId="66794B3A" w14:textId="77777777" w:rsidR="000E1C54" w:rsidRPr="00743BE6" w:rsidRDefault="000E1C54" w:rsidP="003B1D7D">
            <w:pPr>
              <w:spacing w:after="0"/>
              <w:ind w:left="0"/>
              <w:jc w:val="center"/>
              <w:rPr>
                <w:rFonts w:ascii="Arial" w:hAnsi="Arial" w:cs="Arial"/>
                <w:b/>
                <w:szCs w:val="24"/>
              </w:rPr>
            </w:pPr>
            <w:r w:rsidRPr="00743BE6">
              <w:rPr>
                <w:rFonts w:ascii="Arial" w:hAnsi="Arial" w:cs="Arial"/>
                <w:b/>
                <w:szCs w:val="24"/>
              </w:rPr>
              <w:t>NO</w:t>
            </w:r>
          </w:p>
        </w:tc>
        <w:tc>
          <w:tcPr>
            <w:tcW w:w="6345" w:type="dxa"/>
            <w:shd w:val="clear" w:color="auto" w:fill="E0E0E0"/>
          </w:tcPr>
          <w:p w14:paraId="5647E15C" w14:textId="77777777" w:rsidR="000E1C54" w:rsidRPr="00743BE6" w:rsidRDefault="000E1C54" w:rsidP="003B1D7D">
            <w:pPr>
              <w:spacing w:after="0"/>
              <w:ind w:left="-109"/>
              <w:jc w:val="center"/>
              <w:rPr>
                <w:rFonts w:ascii="Arial" w:hAnsi="Arial" w:cs="Arial"/>
                <w:b/>
                <w:szCs w:val="24"/>
              </w:rPr>
            </w:pPr>
            <w:r w:rsidRPr="00743BE6">
              <w:rPr>
                <w:rFonts w:ascii="Arial" w:hAnsi="Arial" w:cs="Arial"/>
                <w:b/>
                <w:szCs w:val="24"/>
              </w:rPr>
              <w:t>ISSUES</w:t>
            </w:r>
          </w:p>
        </w:tc>
        <w:tc>
          <w:tcPr>
            <w:tcW w:w="7229" w:type="dxa"/>
            <w:shd w:val="clear" w:color="auto" w:fill="E0E0E0"/>
          </w:tcPr>
          <w:p w14:paraId="1E9D78D7" w14:textId="77777777" w:rsidR="000E1C54" w:rsidRPr="00743BE6" w:rsidRDefault="000E1C54" w:rsidP="003B1D7D">
            <w:pPr>
              <w:spacing w:after="0"/>
              <w:ind w:left="-101"/>
              <w:jc w:val="center"/>
              <w:rPr>
                <w:rFonts w:ascii="Arial" w:hAnsi="Arial" w:cs="Arial"/>
                <w:b/>
                <w:szCs w:val="24"/>
              </w:rPr>
            </w:pPr>
            <w:r w:rsidRPr="00743BE6">
              <w:rPr>
                <w:rFonts w:ascii="Arial" w:hAnsi="Arial" w:cs="Arial"/>
                <w:b/>
                <w:szCs w:val="24"/>
              </w:rPr>
              <w:t>COMMENTS</w:t>
            </w:r>
          </w:p>
        </w:tc>
      </w:tr>
      <w:tr w:rsidR="000E1C54" w:rsidRPr="00743BE6" w14:paraId="4391241F" w14:textId="77777777" w:rsidTr="003B1D7D">
        <w:tc>
          <w:tcPr>
            <w:tcW w:w="630" w:type="dxa"/>
          </w:tcPr>
          <w:p w14:paraId="7AAB449D" w14:textId="77777777" w:rsidR="000E1C54" w:rsidRPr="00743BE6" w:rsidRDefault="000E1C54" w:rsidP="003B1D7D">
            <w:pPr>
              <w:spacing w:after="0"/>
              <w:ind w:left="0"/>
              <w:jc w:val="center"/>
              <w:rPr>
                <w:rFonts w:ascii="Arial" w:hAnsi="Arial" w:cs="Arial"/>
                <w:szCs w:val="24"/>
              </w:rPr>
            </w:pPr>
            <w:r>
              <w:rPr>
                <w:rFonts w:ascii="Arial" w:hAnsi="Arial" w:cs="Arial"/>
                <w:szCs w:val="24"/>
              </w:rPr>
              <w:t>1</w:t>
            </w:r>
            <w:r w:rsidRPr="00743BE6">
              <w:rPr>
                <w:rFonts w:ascii="Arial" w:hAnsi="Arial" w:cs="Arial"/>
                <w:szCs w:val="24"/>
              </w:rPr>
              <w:t>.</w:t>
            </w:r>
          </w:p>
        </w:tc>
        <w:tc>
          <w:tcPr>
            <w:tcW w:w="6345" w:type="dxa"/>
          </w:tcPr>
          <w:p w14:paraId="1774376B" w14:textId="77777777" w:rsidR="000E1C54" w:rsidRPr="00743BE6" w:rsidRDefault="000E1C54" w:rsidP="003B1D7D">
            <w:pPr>
              <w:spacing w:after="0"/>
              <w:ind w:left="72"/>
              <w:rPr>
                <w:rFonts w:ascii="Arial" w:hAnsi="Arial" w:cs="Arial"/>
                <w:szCs w:val="24"/>
              </w:rPr>
            </w:pPr>
            <w:r w:rsidRPr="00743BE6">
              <w:rPr>
                <w:rFonts w:ascii="Arial" w:hAnsi="Arial" w:cs="Arial"/>
                <w:szCs w:val="24"/>
              </w:rPr>
              <w:t>Are the purposes of ISSBNT comprehensive to serve the needs of the market? If not, what other purposes should be provided?</w:t>
            </w:r>
          </w:p>
          <w:p w14:paraId="607ECB6D" w14:textId="77777777" w:rsidR="000E1C54" w:rsidRPr="00743BE6" w:rsidRDefault="000E1C54" w:rsidP="003B1D7D">
            <w:pPr>
              <w:spacing w:after="0"/>
              <w:ind w:left="72"/>
              <w:rPr>
                <w:rFonts w:ascii="Arial" w:hAnsi="Arial" w:cs="Arial"/>
                <w:szCs w:val="24"/>
              </w:rPr>
            </w:pPr>
          </w:p>
          <w:p w14:paraId="7B4F0057" w14:textId="77777777" w:rsidR="000E1C54" w:rsidRPr="00743BE6" w:rsidRDefault="000E1C54" w:rsidP="003B1D7D">
            <w:pPr>
              <w:spacing w:after="0"/>
              <w:ind w:left="72"/>
              <w:rPr>
                <w:rFonts w:ascii="Arial" w:hAnsi="Arial" w:cs="Arial"/>
                <w:b/>
                <w:szCs w:val="24"/>
              </w:rPr>
            </w:pPr>
            <w:r w:rsidRPr="00743BE6">
              <w:rPr>
                <w:rFonts w:ascii="Arial" w:hAnsi="Arial" w:cs="Arial"/>
                <w:szCs w:val="24"/>
              </w:rPr>
              <w:t>(Please refer to BMSC Rule 9.5.)</w:t>
            </w:r>
          </w:p>
          <w:p w14:paraId="20CD1174" w14:textId="77777777" w:rsidR="000E1C54" w:rsidRPr="00743BE6" w:rsidRDefault="000E1C54" w:rsidP="003B1D7D">
            <w:pPr>
              <w:spacing w:after="0"/>
              <w:rPr>
                <w:rFonts w:ascii="Arial" w:hAnsi="Arial" w:cs="Arial"/>
                <w:szCs w:val="24"/>
              </w:rPr>
            </w:pPr>
          </w:p>
        </w:tc>
        <w:tc>
          <w:tcPr>
            <w:tcW w:w="7229" w:type="dxa"/>
          </w:tcPr>
          <w:p w14:paraId="76234EC0" w14:textId="77777777" w:rsidR="000E1C54" w:rsidRPr="00743BE6" w:rsidRDefault="000E1C54" w:rsidP="003B1D7D">
            <w:pPr>
              <w:spacing w:after="0"/>
              <w:rPr>
                <w:rFonts w:ascii="Arial" w:hAnsi="Arial" w:cs="Arial"/>
                <w:szCs w:val="24"/>
              </w:rPr>
            </w:pPr>
          </w:p>
        </w:tc>
      </w:tr>
      <w:tr w:rsidR="000E1C54" w:rsidRPr="00743BE6" w14:paraId="429C82B3" w14:textId="77777777" w:rsidTr="003B1D7D">
        <w:tc>
          <w:tcPr>
            <w:tcW w:w="630" w:type="dxa"/>
          </w:tcPr>
          <w:p w14:paraId="32238338" w14:textId="77777777" w:rsidR="000E1C54" w:rsidRDefault="000E1C54" w:rsidP="003B1D7D">
            <w:pPr>
              <w:spacing w:after="0"/>
              <w:ind w:left="0"/>
              <w:jc w:val="center"/>
              <w:rPr>
                <w:rFonts w:ascii="Arial" w:hAnsi="Arial" w:cs="Arial"/>
                <w:szCs w:val="24"/>
              </w:rPr>
            </w:pPr>
            <w:r>
              <w:rPr>
                <w:rFonts w:ascii="Arial" w:hAnsi="Arial" w:cs="Arial"/>
                <w:szCs w:val="24"/>
              </w:rPr>
              <w:t>2.</w:t>
            </w:r>
          </w:p>
        </w:tc>
        <w:tc>
          <w:tcPr>
            <w:tcW w:w="6345" w:type="dxa"/>
          </w:tcPr>
          <w:p w14:paraId="176DB989" w14:textId="77777777" w:rsidR="000E1C54" w:rsidRDefault="000E1C54" w:rsidP="003B1D7D">
            <w:pPr>
              <w:spacing w:after="0"/>
              <w:ind w:left="72"/>
              <w:rPr>
                <w:rFonts w:ascii="Arial" w:hAnsi="Arial" w:cs="Arial"/>
                <w:szCs w:val="24"/>
              </w:rPr>
            </w:pPr>
            <w:r>
              <w:rPr>
                <w:rFonts w:ascii="Arial" w:hAnsi="Arial" w:cs="Arial"/>
                <w:szCs w:val="24"/>
              </w:rPr>
              <w:t>Is there a need to clarify or modify the proposed roles, functions and responsibilities of the ISSBNT Participants and their representatives in the proposed Rules of BMSC? If so, please elaborate and provide reasons why.</w:t>
            </w:r>
          </w:p>
          <w:p w14:paraId="67738D77" w14:textId="77777777" w:rsidR="000E1C54" w:rsidRPr="00743BE6" w:rsidRDefault="000E1C54" w:rsidP="003B1D7D">
            <w:pPr>
              <w:spacing w:after="0"/>
              <w:ind w:left="72"/>
              <w:rPr>
                <w:rFonts w:ascii="Arial" w:hAnsi="Arial" w:cs="Arial"/>
                <w:szCs w:val="24"/>
              </w:rPr>
            </w:pPr>
          </w:p>
        </w:tc>
        <w:tc>
          <w:tcPr>
            <w:tcW w:w="7229" w:type="dxa"/>
          </w:tcPr>
          <w:p w14:paraId="5707001F" w14:textId="77777777" w:rsidR="000E1C54" w:rsidRPr="00743BE6" w:rsidRDefault="000E1C54" w:rsidP="003B1D7D">
            <w:pPr>
              <w:spacing w:after="0"/>
              <w:rPr>
                <w:rFonts w:ascii="Arial" w:hAnsi="Arial" w:cs="Arial"/>
                <w:szCs w:val="24"/>
              </w:rPr>
            </w:pPr>
          </w:p>
        </w:tc>
      </w:tr>
      <w:tr w:rsidR="000E1C54" w:rsidRPr="00743BE6" w14:paraId="066D43AA" w14:textId="77777777" w:rsidTr="003B1D7D">
        <w:tc>
          <w:tcPr>
            <w:tcW w:w="630" w:type="dxa"/>
          </w:tcPr>
          <w:p w14:paraId="094ED3EA" w14:textId="77777777" w:rsidR="000E1C54" w:rsidRPr="00743BE6" w:rsidRDefault="000E1C54" w:rsidP="003B1D7D">
            <w:pPr>
              <w:spacing w:after="0"/>
              <w:ind w:left="0"/>
              <w:jc w:val="center"/>
              <w:rPr>
                <w:rFonts w:ascii="Arial" w:hAnsi="Arial" w:cs="Arial"/>
                <w:szCs w:val="24"/>
              </w:rPr>
            </w:pPr>
            <w:r w:rsidRPr="00743BE6">
              <w:rPr>
                <w:rFonts w:ascii="Arial" w:hAnsi="Arial" w:cs="Arial"/>
                <w:szCs w:val="24"/>
              </w:rPr>
              <w:lastRenderedPageBreak/>
              <w:t>3.</w:t>
            </w:r>
          </w:p>
        </w:tc>
        <w:tc>
          <w:tcPr>
            <w:tcW w:w="6345" w:type="dxa"/>
          </w:tcPr>
          <w:p w14:paraId="3024650A" w14:textId="77777777" w:rsidR="000E1C54" w:rsidRDefault="000E1C54" w:rsidP="003B1D7D">
            <w:pPr>
              <w:spacing w:after="0"/>
              <w:ind w:left="72"/>
              <w:rPr>
                <w:rFonts w:ascii="Arial" w:hAnsi="Arial" w:cs="Arial"/>
                <w:szCs w:val="24"/>
              </w:rPr>
            </w:pPr>
            <w:r>
              <w:rPr>
                <w:rFonts w:ascii="Arial" w:hAnsi="Arial" w:cs="Arial"/>
                <w:szCs w:val="24"/>
              </w:rPr>
              <w:t>In your view, are there other functions and responsibilities of a Supplier Representative and a User Representative that should be included apart from those already provided for in Rules 9.7 and 9.9 in the Rules of BMSC? If so, please elaborate and provide reasons why.</w:t>
            </w:r>
          </w:p>
          <w:p w14:paraId="7F4510D6" w14:textId="77777777" w:rsidR="000E1C54" w:rsidRPr="00743BE6" w:rsidRDefault="000E1C54" w:rsidP="003B1D7D">
            <w:pPr>
              <w:spacing w:after="0"/>
              <w:ind w:left="72"/>
              <w:rPr>
                <w:rFonts w:ascii="Arial" w:hAnsi="Arial" w:cs="Arial"/>
                <w:szCs w:val="24"/>
              </w:rPr>
            </w:pPr>
          </w:p>
        </w:tc>
        <w:tc>
          <w:tcPr>
            <w:tcW w:w="7229" w:type="dxa"/>
          </w:tcPr>
          <w:p w14:paraId="17A3EAA4" w14:textId="77777777" w:rsidR="000E1C54" w:rsidRPr="00743BE6" w:rsidRDefault="000E1C54" w:rsidP="003B1D7D">
            <w:pPr>
              <w:spacing w:after="0"/>
              <w:rPr>
                <w:rFonts w:ascii="Arial" w:hAnsi="Arial" w:cs="Arial"/>
                <w:szCs w:val="24"/>
              </w:rPr>
            </w:pPr>
          </w:p>
        </w:tc>
      </w:tr>
      <w:tr w:rsidR="000E1C54" w:rsidRPr="00743BE6" w14:paraId="430F9AE8" w14:textId="77777777" w:rsidTr="003B1D7D">
        <w:tc>
          <w:tcPr>
            <w:tcW w:w="630" w:type="dxa"/>
          </w:tcPr>
          <w:p w14:paraId="28C97912" w14:textId="77777777" w:rsidR="000E1C54" w:rsidRPr="00743BE6" w:rsidRDefault="000E1C54" w:rsidP="003B1D7D">
            <w:pPr>
              <w:spacing w:after="0"/>
              <w:ind w:left="0"/>
              <w:jc w:val="center"/>
              <w:rPr>
                <w:rFonts w:ascii="Arial" w:hAnsi="Arial" w:cs="Arial"/>
                <w:szCs w:val="24"/>
              </w:rPr>
            </w:pPr>
            <w:r w:rsidRPr="00743BE6">
              <w:rPr>
                <w:rFonts w:ascii="Arial" w:hAnsi="Arial" w:cs="Arial"/>
                <w:szCs w:val="24"/>
              </w:rPr>
              <w:t>4.</w:t>
            </w:r>
          </w:p>
        </w:tc>
        <w:tc>
          <w:tcPr>
            <w:tcW w:w="6345" w:type="dxa"/>
          </w:tcPr>
          <w:p w14:paraId="543676BD" w14:textId="77777777" w:rsidR="000E1C54" w:rsidRPr="00743BE6" w:rsidRDefault="000E1C54" w:rsidP="003B1D7D">
            <w:pPr>
              <w:spacing w:after="0"/>
              <w:ind w:left="72"/>
              <w:rPr>
                <w:rFonts w:ascii="Arial" w:hAnsi="Arial" w:cs="Arial"/>
                <w:szCs w:val="24"/>
              </w:rPr>
            </w:pPr>
            <w:r w:rsidRPr="00743BE6">
              <w:rPr>
                <w:rFonts w:ascii="Arial" w:hAnsi="Arial" w:cs="Arial"/>
                <w:szCs w:val="24"/>
              </w:rPr>
              <w:t>Do you agree that there is a need to provide for extinguishment of ISSBNT without the execution of Leg 2? Please provide your reasons.</w:t>
            </w:r>
          </w:p>
          <w:p w14:paraId="48760A46" w14:textId="77777777" w:rsidR="000E1C54" w:rsidRPr="00743BE6" w:rsidRDefault="000E1C54" w:rsidP="003B1D7D">
            <w:pPr>
              <w:spacing w:after="0"/>
              <w:ind w:left="72"/>
              <w:rPr>
                <w:rFonts w:ascii="Arial" w:hAnsi="Arial" w:cs="Arial"/>
                <w:szCs w:val="24"/>
              </w:rPr>
            </w:pPr>
          </w:p>
          <w:p w14:paraId="7375028F" w14:textId="77777777" w:rsidR="000E1C54" w:rsidRPr="00743BE6" w:rsidRDefault="000E1C54" w:rsidP="003B1D7D">
            <w:pPr>
              <w:spacing w:after="0"/>
              <w:ind w:left="72"/>
              <w:rPr>
                <w:rFonts w:ascii="Arial" w:hAnsi="Arial" w:cs="Arial"/>
                <w:b/>
                <w:szCs w:val="24"/>
              </w:rPr>
            </w:pPr>
            <w:r w:rsidRPr="00743BE6">
              <w:rPr>
                <w:rFonts w:ascii="Arial" w:hAnsi="Arial" w:cs="Arial"/>
                <w:szCs w:val="24"/>
              </w:rPr>
              <w:t>(Please refer to BMSC Rule 9.12(g) – (k).)</w:t>
            </w:r>
          </w:p>
          <w:p w14:paraId="6AF00DB3" w14:textId="77777777" w:rsidR="000E1C54" w:rsidRPr="00743BE6" w:rsidRDefault="000E1C54" w:rsidP="003B1D7D">
            <w:pPr>
              <w:spacing w:after="0"/>
              <w:rPr>
                <w:rFonts w:ascii="Arial" w:hAnsi="Arial" w:cs="Arial"/>
                <w:szCs w:val="24"/>
              </w:rPr>
            </w:pPr>
          </w:p>
        </w:tc>
        <w:tc>
          <w:tcPr>
            <w:tcW w:w="7229" w:type="dxa"/>
          </w:tcPr>
          <w:p w14:paraId="164A7FA5" w14:textId="77777777" w:rsidR="000E1C54" w:rsidRPr="00743BE6" w:rsidRDefault="000E1C54" w:rsidP="003B1D7D">
            <w:pPr>
              <w:spacing w:after="0"/>
              <w:rPr>
                <w:rFonts w:ascii="Arial" w:hAnsi="Arial" w:cs="Arial"/>
                <w:szCs w:val="24"/>
              </w:rPr>
            </w:pPr>
          </w:p>
        </w:tc>
      </w:tr>
      <w:tr w:rsidR="000E1C54" w:rsidRPr="00743BE6" w14:paraId="0CDA9C6C" w14:textId="77777777" w:rsidTr="003B1D7D">
        <w:tc>
          <w:tcPr>
            <w:tcW w:w="630" w:type="dxa"/>
          </w:tcPr>
          <w:p w14:paraId="48B69870" w14:textId="77777777" w:rsidR="000E1C54" w:rsidRPr="00743BE6" w:rsidRDefault="000E1C54" w:rsidP="003B1D7D">
            <w:pPr>
              <w:spacing w:after="0"/>
              <w:ind w:left="0"/>
              <w:jc w:val="center"/>
              <w:rPr>
                <w:rFonts w:ascii="Arial" w:hAnsi="Arial" w:cs="Arial"/>
                <w:szCs w:val="24"/>
              </w:rPr>
            </w:pPr>
            <w:r w:rsidRPr="00743BE6">
              <w:rPr>
                <w:rFonts w:ascii="Arial" w:hAnsi="Arial" w:cs="Arial"/>
                <w:szCs w:val="24"/>
              </w:rPr>
              <w:t>5.</w:t>
            </w:r>
          </w:p>
        </w:tc>
        <w:tc>
          <w:tcPr>
            <w:tcW w:w="6345" w:type="dxa"/>
          </w:tcPr>
          <w:p w14:paraId="2002D895" w14:textId="77777777" w:rsidR="000E1C54" w:rsidRPr="00743BE6" w:rsidRDefault="000E1C54" w:rsidP="003B1D7D">
            <w:pPr>
              <w:spacing w:after="0"/>
              <w:ind w:left="72"/>
              <w:rPr>
                <w:rFonts w:ascii="Arial" w:hAnsi="Arial" w:cs="Arial"/>
                <w:szCs w:val="24"/>
              </w:rPr>
            </w:pPr>
            <w:r w:rsidRPr="00743BE6">
              <w:rPr>
                <w:rFonts w:ascii="Arial" w:hAnsi="Arial" w:cs="Arial"/>
                <w:szCs w:val="24"/>
              </w:rPr>
              <w:t>Do you have any suggestion or concern on how BMSC gives effect to the manner in which share entitlements arising from corporate action in relation to the ISSBNT securities are to be treated, i.e. by the ISSBNT Participant adjusting the amount of ISSBNT Securities to be re-delivered accordingly?</w:t>
            </w:r>
          </w:p>
          <w:p w14:paraId="283B8214" w14:textId="77777777" w:rsidR="000E1C54" w:rsidRPr="00743BE6" w:rsidRDefault="000E1C54" w:rsidP="003B1D7D">
            <w:pPr>
              <w:spacing w:after="0"/>
              <w:ind w:left="72"/>
              <w:rPr>
                <w:rFonts w:ascii="Arial" w:hAnsi="Arial" w:cs="Arial"/>
                <w:szCs w:val="24"/>
              </w:rPr>
            </w:pPr>
          </w:p>
          <w:p w14:paraId="0DFA0AB7" w14:textId="77777777" w:rsidR="000E1C54" w:rsidRPr="00743BE6" w:rsidRDefault="000E1C54" w:rsidP="003B1D7D">
            <w:pPr>
              <w:spacing w:after="0"/>
              <w:ind w:left="72"/>
              <w:rPr>
                <w:rFonts w:ascii="Arial" w:hAnsi="Arial" w:cs="Arial"/>
                <w:b/>
                <w:szCs w:val="24"/>
              </w:rPr>
            </w:pPr>
            <w:r w:rsidRPr="00743BE6">
              <w:rPr>
                <w:rFonts w:ascii="Arial" w:hAnsi="Arial" w:cs="Arial"/>
                <w:szCs w:val="24"/>
              </w:rPr>
              <w:t>(Please refer to BMSC Rule 9.12(e).)</w:t>
            </w:r>
          </w:p>
          <w:p w14:paraId="4C79D2F7" w14:textId="77777777" w:rsidR="000E1C54" w:rsidRPr="00743BE6" w:rsidRDefault="000E1C54" w:rsidP="003B1D7D">
            <w:pPr>
              <w:spacing w:after="0"/>
              <w:rPr>
                <w:rFonts w:ascii="Arial" w:hAnsi="Arial" w:cs="Arial"/>
                <w:szCs w:val="24"/>
              </w:rPr>
            </w:pPr>
          </w:p>
        </w:tc>
        <w:tc>
          <w:tcPr>
            <w:tcW w:w="7229" w:type="dxa"/>
          </w:tcPr>
          <w:p w14:paraId="789F2851" w14:textId="77777777" w:rsidR="000E1C54" w:rsidRPr="00743BE6" w:rsidRDefault="000E1C54" w:rsidP="003B1D7D">
            <w:pPr>
              <w:spacing w:after="0"/>
              <w:rPr>
                <w:rFonts w:ascii="Arial" w:hAnsi="Arial" w:cs="Arial"/>
                <w:szCs w:val="24"/>
              </w:rPr>
            </w:pPr>
          </w:p>
        </w:tc>
      </w:tr>
      <w:tr w:rsidR="000E1C54" w:rsidRPr="00743BE6" w14:paraId="792E070B" w14:textId="77777777" w:rsidTr="003B1D7D">
        <w:tc>
          <w:tcPr>
            <w:tcW w:w="630" w:type="dxa"/>
          </w:tcPr>
          <w:p w14:paraId="39AF8B6A" w14:textId="77777777" w:rsidR="000E1C54" w:rsidRPr="00743BE6" w:rsidRDefault="000E1C54" w:rsidP="003B1D7D">
            <w:pPr>
              <w:spacing w:after="0"/>
              <w:ind w:left="0"/>
              <w:jc w:val="center"/>
              <w:rPr>
                <w:rFonts w:ascii="Arial" w:hAnsi="Arial" w:cs="Arial"/>
                <w:szCs w:val="24"/>
              </w:rPr>
            </w:pPr>
            <w:r>
              <w:rPr>
                <w:rFonts w:ascii="Arial" w:hAnsi="Arial" w:cs="Arial"/>
                <w:szCs w:val="24"/>
              </w:rPr>
              <w:t>6.</w:t>
            </w:r>
          </w:p>
        </w:tc>
        <w:tc>
          <w:tcPr>
            <w:tcW w:w="6345" w:type="dxa"/>
            <w:tcBorders>
              <w:bottom w:val="single" w:sz="4" w:space="0" w:color="auto"/>
            </w:tcBorders>
          </w:tcPr>
          <w:p w14:paraId="1E84337B" w14:textId="77777777" w:rsidR="000E1C54" w:rsidRDefault="000E1C54" w:rsidP="003B1D7D">
            <w:pPr>
              <w:spacing w:after="0"/>
              <w:ind w:left="72"/>
              <w:rPr>
                <w:rFonts w:ascii="Arial" w:hAnsi="Arial" w:cs="Arial"/>
                <w:szCs w:val="24"/>
              </w:rPr>
            </w:pPr>
            <w:r w:rsidRPr="00EE0B59">
              <w:rPr>
                <w:rFonts w:ascii="Arial" w:hAnsi="Arial" w:cs="Arial"/>
                <w:szCs w:val="24"/>
              </w:rPr>
              <w:t>In your view, are there other obligations that should be imposed on a Participating Organisation that is undertaking an ISSBNT?</w:t>
            </w:r>
            <w:r>
              <w:rPr>
                <w:rFonts w:ascii="Arial" w:hAnsi="Arial" w:cs="Arial"/>
                <w:szCs w:val="24"/>
              </w:rPr>
              <w:t xml:space="preserve"> If so, please elaborate and provide reasons why.</w:t>
            </w:r>
          </w:p>
          <w:p w14:paraId="50B7C495" w14:textId="77777777" w:rsidR="000E1C54" w:rsidRPr="00722027" w:rsidRDefault="000E1C54" w:rsidP="003B1D7D">
            <w:pPr>
              <w:spacing w:after="0"/>
              <w:ind w:left="72"/>
              <w:rPr>
                <w:rFonts w:ascii="Arial" w:hAnsi="Arial" w:cs="Arial"/>
                <w:szCs w:val="24"/>
                <w:vertAlign w:val="subscript"/>
              </w:rPr>
            </w:pPr>
            <w:r w:rsidRPr="00722027">
              <w:rPr>
                <w:rFonts w:ascii="Arial" w:hAnsi="Arial" w:cs="Arial"/>
                <w:szCs w:val="24"/>
                <w:vertAlign w:val="subscript"/>
              </w:rPr>
              <w:t xml:space="preserve"> </w:t>
            </w:r>
          </w:p>
        </w:tc>
        <w:tc>
          <w:tcPr>
            <w:tcW w:w="7229" w:type="dxa"/>
          </w:tcPr>
          <w:p w14:paraId="34FD6C3C" w14:textId="77777777" w:rsidR="000E1C54" w:rsidRPr="00743BE6" w:rsidRDefault="000E1C54" w:rsidP="003B1D7D">
            <w:pPr>
              <w:spacing w:after="0"/>
              <w:rPr>
                <w:rFonts w:ascii="Arial" w:hAnsi="Arial" w:cs="Arial"/>
                <w:szCs w:val="24"/>
              </w:rPr>
            </w:pPr>
          </w:p>
        </w:tc>
      </w:tr>
      <w:tr w:rsidR="000E1C54" w:rsidRPr="00743BE6" w14:paraId="422CB20C" w14:textId="77777777" w:rsidTr="003B1D7D">
        <w:tc>
          <w:tcPr>
            <w:tcW w:w="630" w:type="dxa"/>
          </w:tcPr>
          <w:p w14:paraId="75D13B9C" w14:textId="77777777" w:rsidR="000E1C54" w:rsidRPr="00743BE6" w:rsidRDefault="000E1C54" w:rsidP="003B1D7D">
            <w:pPr>
              <w:spacing w:after="0"/>
              <w:ind w:left="0"/>
              <w:jc w:val="center"/>
              <w:rPr>
                <w:rFonts w:ascii="Arial" w:hAnsi="Arial" w:cs="Arial"/>
                <w:szCs w:val="24"/>
              </w:rPr>
            </w:pPr>
            <w:r>
              <w:rPr>
                <w:rFonts w:ascii="Arial" w:hAnsi="Arial" w:cs="Arial"/>
                <w:szCs w:val="24"/>
              </w:rPr>
              <w:t>7</w:t>
            </w:r>
            <w:r w:rsidRPr="00743BE6">
              <w:rPr>
                <w:rFonts w:ascii="Arial" w:hAnsi="Arial" w:cs="Arial"/>
                <w:szCs w:val="24"/>
              </w:rPr>
              <w:t>.</w:t>
            </w:r>
          </w:p>
        </w:tc>
        <w:tc>
          <w:tcPr>
            <w:tcW w:w="6345" w:type="dxa"/>
            <w:tcBorders>
              <w:bottom w:val="single" w:sz="4" w:space="0" w:color="auto"/>
            </w:tcBorders>
          </w:tcPr>
          <w:p w14:paraId="76E8D15F" w14:textId="77777777" w:rsidR="000E1C54" w:rsidRPr="00743BE6" w:rsidRDefault="000E1C54" w:rsidP="003B1D7D">
            <w:pPr>
              <w:spacing w:after="0"/>
              <w:ind w:left="72"/>
              <w:rPr>
                <w:rFonts w:ascii="Arial" w:hAnsi="Arial" w:cs="Arial"/>
                <w:szCs w:val="24"/>
              </w:rPr>
            </w:pPr>
            <w:r w:rsidRPr="00743BE6">
              <w:rPr>
                <w:rFonts w:ascii="Arial" w:hAnsi="Arial" w:cs="Arial"/>
                <w:szCs w:val="24"/>
              </w:rPr>
              <w:t>What legal or operational issues or challenges do you foresee in relation to the introduction of the ISSBNT model?</w:t>
            </w:r>
          </w:p>
          <w:p w14:paraId="5CB51389" w14:textId="77777777" w:rsidR="000E1C54" w:rsidRDefault="000E1C54" w:rsidP="003B1D7D">
            <w:pPr>
              <w:spacing w:after="0"/>
              <w:ind w:left="72"/>
              <w:rPr>
                <w:rFonts w:ascii="Arial" w:hAnsi="Arial" w:cs="Arial"/>
                <w:szCs w:val="24"/>
              </w:rPr>
            </w:pPr>
          </w:p>
          <w:p w14:paraId="29BB4982" w14:textId="77777777" w:rsidR="000E1C54" w:rsidRPr="00743BE6" w:rsidRDefault="000E1C54" w:rsidP="003B1D7D">
            <w:pPr>
              <w:spacing w:after="0"/>
              <w:ind w:left="72"/>
              <w:rPr>
                <w:rFonts w:ascii="Arial" w:hAnsi="Arial" w:cs="Arial"/>
                <w:szCs w:val="24"/>
              </w:rPr>
            </w:pPr>
          </w:p>
        </w:tc>
        <w:tc>
          <w:tcPr>
            <w:tcW w:w="7229" w:type="dxa"/>
          </w:tcPr>
          <w:p w14:paraId="10FFD8CC" w14:textId="77777777" w:rsidR="000E1C54" w:rsidRPr="00743BE6" w:rsidRDefault="000E1C54" w:rsidP="003B1D7D">
            <w:pPr>
              <w:spacing w:after="0"/>
              <w:rPr>
                <w:rFonts w:ascii="Arial" w:hAnsi="Arial" w:cs="Arial"/>
                <w:szCs w:val="24"/>
              </w:rPr>
            </w:pPr>
          </w:p>
        </w:tc>
      </w:tr>
      <w:tr w:rsidR="000E1C54" w:rsidRPr="00743BE6" w14:paraId="3FAEFE8E" w14:textId="77777777" w:rsidTr="003B1D7D">
        <w:tc>
          <w:tcPr>
            <w:tcW w:w="630" w:type="dxa"/>
          </w:tcPr>
          <w:p w14:paraId="47B74914" w14:textId="77777777" w:rsidR="000E1C54" w:rsidRPr="00743BE6" w:rsidRDefault="000E1C54" w:rsidP="000E1C54">
            <w:pPr>
              <w:spacing w:after="0"/>
              <w:ind w:left="0"/>
              <w:jc w:val="center"/>
              <w:rPr>
                <w:rFonts w:ascii="Arial" w:hAnsi="Arial" w:cs="Arial"/>
                <w:szCs w:val="24"/>
              </w:rPr>
            </w:pPr>
            <w:r>
              <w:rPr>
                <w:rFonts w:ascii="Arial" w:hAnsi="Arial" w:cs="Arial"/>
                <w:szCs w:val="24"/>
              </w:rPr>
              <w:t>8.</w:t>
            </w:r>
          </w:p>
        </w:tc>
        <w:tc>
          <w:tcPr>
            <w:tcW w:w="6345" w:type="dxa"/>
            <w:tcBorders>
              <w:bottom w:val="single" w:sz="4" w:space="0" w:color="auto"/>
            </w:tcBorders>
          </w:tcPr>
          <w:p w14:paraId="5D7B727C" w14:textId="77777777" w:rsidR="000E1C54" w:rsidRDefault="000E1C54" w:rsidP="003B1D7D">
            <w:pPr>
              <w:spacing w:after="0"/>
              <w:ind w:left="72"/>
              <w:rPr>
                <w:rFonts w:ascii="Arial" w:hAnsi="Arial" w:cs="Arial"/>
                <w:szCs w:val="24"/>
              </w:rPr>
            </w:pPr>
            <w:r>
              <w:rPr>
                <w:rFonts w:ascii="Arial" w:hAnsi="Arial" w:cs="Arial"/>
                <w:szCs w:val="24"/>
              </w:rPr>
              <w:t>Any other comments on the Proposals.</w:t>
            </w:r>
          </w:p>
          <w:p w14:paraId="63E3E04D" w14:textId="77777777" w:rsidR="000E1C54" w:rsidRDefault="000E1C54" w:rsidP="003B1D7D">
            <w:pPr>
              <w:spacing w:after="0"/>
              <w:ind w:left="72"/>
              <w:rPr>
                <w:rFonts w:ascii="Arial" w:hAnsi="Arial" w:cs="Arial"/>
                <w:szCs w:val="24"/>
              </w:rPr>
            </w:pPr>
          </w:p>
          <w:p w14:paraId="3820E156" w14:textId="77777777" w:rsidR="000E1C54" w:rsidRDefault="000E1C54" w:rsidP="003B1D7D">
            <w:pPr>
              <w:spacing w:after="0"/>
              <w:ind w:left="72"/>
              <w:rPr>
                <w:rFonts w:ascii="Arial" w:hAnsi="Arial" w:cs="Arial"/>
                <w:szCs w:val="24"/>
              </w:rPr>
            </w:pPr>
          </w:p>
          <w:p w14:paraId="60716147" w14:textId="77777777" w:rsidR="000E1C54" w:rsidRPr="00743BE6" w:rsidRDefault="000E1C54" w:rsidP="003B1D7D">
            <w:pPr>
              <w:spacing w:after="0"/>
              <w:ind w:left="72"/>
              <w:rPr>
                <w:rFonts w:ascii="Arial" w:hAnsi="Arial" w:cs="Arial"/>
                <w:szCs w:val="24"/>
              </w:rPr>
            </w:pPr>
          </w:p>
        </w:tc>
        <w:tc>
          <w:tcPr>
            <w:tcW w:w="7229" w:type="dxa"/>
          </w:tcPr>
          <w:p w14:paraId="78ADD41B" w14:textId="77777777" w:rsidR="000E1C54" w:rsidRPr="00743BE6" w:rsidRDefault="000E1C54" w:rsidP="003B1D7D">
            <w:pPr>
              <w:spacing w:after="0"/>
              <w:rPr>
                <w:rFonts w:ascii="Arial" w:hAnsi="Arial" w:cs="Arial"/>
                <w:szCs w:val="24"/>
              </w:rPr>
            </w:pPr>
            <w:bookmarkStart w:id="4" w:name="_GoBack"/>
            <w:bookmarkEnd w:id="4"/>
          </w:p>
        </w:tc>
      </w:tr>
    </w:tbl>
    <w:p w14:paraId="3768530C" w14:textId="77777777" w:rsidR="002378B1" w:rsidRDefault="000E1C54" w:rsidP="000E1C54">
      <w:pPr>
        <w:ind w:left="0"/>
      </w:pPr>
      <w:bookmarkStart w:id="5" w:name="_Toc477529167"/>
      <w:bookmarkEnd w:id="5"/>
    </w:p>
    <w:sectPr w:rsidR="002378B1" w:rsidSect="000E1C54">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276" w:right="794" w:bottom="1080" w:left="1304"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545D3" w14:textId="77777777" w:rsidR="000E1C54" w:rsidRDefault="000E1C54" w:rsidP="000E1C54">
      <w:pPr>
        <w:spacing w:after="0"/>
      </w:pPr>
      <w:r>
        <w:separator/>
      </w:r>
    </w:p>
  </w:endnote>
  <w:endnote w:type="continuationSeparator" w:id="0">
    <w:p w14:paraId="0CEB9DE2" w14:textId="77777777" w:rsidR="000E1C54" w:rsidRDefault="000E1C54" w:rsidP="000E1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B716" w14:textId="77777777" w:rsidR="000E1C54" w:rsidRDefault="000E1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78533"/>
      <w:docPartObj>
        <w:docPartGallery w:val="Page Numbers (Bottom of Page)"/>
        <w:docPartUnique/>
      </w:docPartObj>
    </w:sdtPr>
    <w:sdtEndPr/>
    <w:sdtContent>
      <w:sdt>
        <w:sdtPr>
          <w:id w:val="-1442365309"/>
          <w:docPartObj>
            <w:docPartGallery w:val="Page Numbers (Top of Page)"/>
            <w:docPartUnique/>
          </w:docPartObj>
        </w:sdtPr>
        <w:sdtEndPr/>
        <w:sdtContent>
          <w:p w14:paraId="76E648B4" w14:textId="77777777" w:rsidR="005566B7" w:rsidRDefault="000E1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13366"/>
      <w:docPartObj>
        <w:docPartGallery w:val="Page Numbers (Bottom of Page)"/>
        <w:docPartUnique/>
      </w:docPartObj>
    </w:sdtPr>
    <w:sdtEndPr/>
    <w:sdtContent>
      <w:sdt>
        <w:sdtPr>
          <w:id w:val="211774559"/>
          <w:docPartObj>
            <w:docPartGallery w:val="Page Numbers (Top of Page)"/>
            <w:docPartUnique/>
          </w:docPartObj>
        </w:sdtPr>
        <w:sdtEndPr/>
        <w:sdtContent>
          <w:p w14:paraId="0FCB8BD5" w14:textId="77777777" w:rsidR="005566B7" w:rsidRDefault="000E1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EC01444" w14:textId="77777777" w:rsidR="005566B7" w:rsidRPr="003249AB" w:rsidRDefault="000E1C54">
    <w:pPr>
      <w:pStyle w:val="Footer"/>
      <w:tabs>
        <w:tab w:val="clear" w:pos="9213"/>
        <w:tab w:val="right" w:pos="922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F5AB4" w14:textId="77777777" w:rsidR="000E1C54" w:rsidRDefault="000E1C54" w:rsidP="000E1C54">
      <w:pPr>
        <w:spacing w:after="0"/>
      </w:pPr>
      <w:r>
        <w:separator/>
      </w:r>
    </w:p>
  </w:footnote>
  <w:footnote w:type="continuationSeparator" w:id="0">
    <w:p w14:paraId="1607EA97" w14:textId="77777777" w:rsidR="000E1C54" w:rsidRDefault="000E1C54" w:rsidP="000E1C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4EB9" w14:textId="77777777" w:rsidR="000E1C54" w:rsidRDefault="000E1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74BF" w14:textId="77777777" w:rsidR="000E1C54" w:rsidRDefault="000E1C54" w:rsidP="000E1C54">
    <w:pPr>
      <w:pStyle w:val="Header"/>
      <w:spacing w:after="0"/>
      <w:rPr>
        <w:rFonts w:ascii="Helvetica" w:hAnsi="Helvetica" w:cs="Helvetica"/>
        <w:b/>
        <w:sz w:val="20"/>
      </w:rPr>
    </w:pPr>
    <w:r>
      <w:rPr>
        <w:rFonts w:cs="Arial"/>
        <w:noProof/>
        <w:sz w:val="18"/>
        <w:szCs w:val="18"/>
        <w:lang w:val="en-US"/>
      </w:rPr>
      <w:drawing>
        <wp:inline distT="0" distB="0" distL="0" distR="0" wp14:anchorId="7099CEFF" wp14:editId="57A6FC21">
          <wp:extent cx="1800225" cy="361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sidRPr="000E1C54">
      <w:rPr>
        <w:rFonts w:ascii="Helvetica" w:hAnsi="Helvetica" w:cs="Helvetica"/>
        <w:b/>
        <w:sz w:val="20"/>
      </w:rPr>
      <w:ptab w:relativeTo="margin" w:alignment="center" w:leader="none"/>
    </w:r>
    <w:r w:rsidRPr="000E1C54">
      <w:rPr>
        <w:rFonts w:ascii="Helvetica" w:hAnsi="Helvetica" w:cs="Helvetica"/>
        <w:b/>
        <w:sz w:val="20"/>
      </w:rPr>
      <w:ptab w:relativeTo="margin" w:alignment="right" w:leader="none"/>
    </w:r>
    <w:r>
      <w:rPr>
        <w:rFonts w:ascii="Helvetica" w:hAnsi="Helvetica" w:cs="Helvetica"/>
        <w:b/>
        <w:sz w:val="20"/>
      </w:rPr>
      <w:t>Consultation Paper No. 2/2017</w:t>
    </w:r>
  </w:p>
  <w:p w14:paraId="2909B847" w14:textId="77777777" w:rsidR="000E1C54" w:rsidRDefault="000E1C54" w:rsidP="000E1C54">
    <w:pPr>
      <w:pStyle w:val="Header"/>
      <w:spacing w:after="0"/>
      <w:rPr>
        <w:rFonts w:ascii="Helvetica" w:hAnsi="Helvetica" w:cs="Helvetica"/>
        <w:b/>
        <w:sz w:val="20"/>
      </w:rPr>
    </w:pPr>
    <w:r>
      <w:rPr>
        <w:rFonts w:ascii="Helvetica" w:hAnsi="Helvetica" w:cs="Helvetica"/>
        <w:b/>
        <w:sz w:val="20"/>
      </w:rPr>
      <w:t>21 March 2017</w:t>
    </w:r>
  </w:p>
  <w:p w14:paraId="74EF3D0D" w14:textId="77777777" w:rsidR="000E1C54" w:rsidRDefault="000E1C54" w:rsidP="000E1C54">
    <w:pPr>
      <w:pStyle w:val="Header"/>
      <w:spacing w:after="0"/>
      <w:rPr>
        <w:rFonts w:ascii="Helvetica" w:hAnsi="Helvetica" w:cs="Helvetica"/>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8123" w14:textId="77777777" w:rsidR="005566B7" w:rsidRDefault="000E1C54" w:rsidP="000E1C54">
    <w:pPr>
      <w:pStyle w:val="Header"/>
      <w:spacing w:after="0"/>
      <w:rPr>
        <w:rFonts w:ascii="Helvetica" w:hAnsi="Helvetica" w:cs="Helvetica"/>
        <w:b/>
        <w:sz w:val="20"/>
      </w:rPr>
    </w:pPr>
    <w:r>
      <w:rPr>
        <w:rFonts w:cs="Arial"/>
        <w:noProof/>
        <w:sz w:val="18"/>
        <w:szCs w:val="18"/>
        <w:lang w:val="en-US"/>
      </w:rPr>
      <w:drawing>
        <wp:inline distT="0" distB="0" distL="0" distR="0" wp14:anchorId="3437813D" wp14:editId="5065E1F8">
          <wp:extent cx="180022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sidRPr="000E1C54">
      <w:rPr>
        <w:rFonts w:ascii="Helvetica" w:hAnsi="Helvetica" w:cs="Helvetica"/>
        <w:b/>
        <w:sz w:val="20"/>
      </w:rPr>
      <w:ptab w:relativeTo="margin" w:alignment="center" w:leader="none"/>
    </w:r>
    <w:r w:rsidRPr="000E1C54">
      <w:rPr>
        <w:rFonts w:ascii="Helvetica" w:hAnsi="Helvetica" w:cs="Helvetica"/>
        <w:b/>
        <w:sz w:val="20"/>
      </w:rPr>
      <w:ptab w:relativeTo="margin" w:alignment="right" w:leader="none"/>
    </w:r>
    <w:r>
      <w:rPr>
        <w:rFonts w:ascii="Helvetica" w:hAnsi="Helvetica" w:cs="Helvetica"/>
        <w:b/>
        <w:sz w:val="20"/>
      </w:rPr>
      <w:t>Consultation Paper No. 2/2017</w:t>
    </w:r>
  </w:p>
  <w:p w14:paraId="74B628CD" w14:textId="77777777" w:rsidR="000E1C54" w:rsidRDefault="000E1C54" w:rsidP="000E1C54">
    <w:pPr>
      <w:pStyle w:val="Header"/>
      <w:spacing w:after="0"/>
      <w:rPr>
        <w:rFonts w:ascii="Helvetica" w:hAnsi="Helvetica" w:cs="Helvetica"/>
        <w:b/>
        <w:sz w:val="20"/>
      </w:rPr>
    </w:pPr>
    <w:r>
      <w:rPr>
        <w:rFonts w:ascii="Helvetica" w:hAnsi="Helvetica" w:cs="Helvetica"/>
        <w:b/>
        <w:sz w:val="20"/>
      </w:rPr>
      <w:t>21 March 2017</w:t>
    </w:r>
  </w:p>
  <w:p w14:paraId="0B4841E1" w14:textId="77777777" w:rsidR="000E1C54" w:rsidRPr="003249AB" w:rsidRDefault="000E1C54" w:rsidP="000E1C54">
    <w:pPr>
      <w:pStyle w:val="Header"/>
      <w:spacing w:after="0"/>
      <w:rPr>
        <w:rFonts w:ascii="Helvetica" w:hAnsi="Helvetica" w:cs="Helvetic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33756"/>
    <w:multiLevelType w:val="hybridMultilevel"/>
    <w:tmpl w:val="4E125D24"/>
    <w:lvl w:ilvl="0" w:tplc="EBEA13C2">
      <w:start w:val="1"/>
      <w:numFmt w:val="upperLetter"/>
      <w:pStyle w:val="Annexure"/>
      <w:lvlText w:val="annexure %1"/>
      <w:lvlJc w:val="left"/>
      <w:pPr>
        <w:tabs>
          <w:tab w:val="num" w:pos="1800"/>
        </w:tabs>
        <w:ind w:left="360" w:hanging="360"/>
      </w:pPr>
      <w:rPr>
        <w:rFonts w:hint="default"/>
      </w:rPr>
    </w:lvl>
    <w:lvl w:ilvl="1" w:tplc="759C6026" w:tentative="1">
      <w:start w:val="1"/>
      <w:numFmt w:val="lowerLetter"/>
      <w:lvlText w:val="%2."/>
      <w:lvlJc w:val="left"/>
      <w:pPr>
        <w:tabs>
          <w:tab w:val="num" w:pos="1440"/>
        </w:tabs>
        <w:ind w:left="1440" w:hanging="360"/>
      </w:pPr>
    </w:lvl>
    <w:lvl w:ilvl="2" w:tplc="0DEC899A" w:tentative="1">
      <w:start w:val="1"/>
      <w:numFmt w:val="lowerRoman"/>
      <w:lvlText w:val="%3."/>
      <w:lvlJc w:val="right"/>
      <w:pPr>
        <w:tabs>
          <w:tab w:val="num" w:pos="2160"/>
        </w:tabs>
        <w:ind w:left="2160" w:hanging="180"/>
      </w:pPr>
    </w:lvl>
    <w:lvl w:ilvl="3" w:tplc="7898C130" w:tentative="1">
      <w:start w:val="1"/>
      <w:numFmt w:val="decimal"/>
      <w:lvlText w:val="%4."/>
      <w:lvlJc w:val="left"/>
      <w:pPr>
        <w:tabs>
          <w:tab w:val="num" w:pos="2880"/>
        </w:tabs>
        <w:ind w:left="2880" w:hanging="360"/>
      </w:pPr>
    </w:lvl>
    <w:lvl w:ilvl="4" w:tplc="055E26EC" w:tentative="1">
      <w:start w:val="1"/>
      <w:numFmt w:val="lowerLetter"/>
      <w:lvlText w:val="%5."/>
      <w:lvlJc w:val="left"/>
      <w:pPr>
        <w:tabs>
          <w:tab w:val="num" w:pos="3600"/>
        </w:tabs>
        <w:ind w:left="3600" w:hanging="360"/>
      </w:pPr>
    </w:lvl>
    <w:lvl w:ilvl="5" w:tplc="9A0669B2" w:tentative="1">
      <w:start w:val="1"/>
      <w:numFmt w:val="lowerRoman"/>
      <w:lvlText w:val="%6."/>
      <w:lvlJc w:val="right"/>
      <w:pPr>
        <w:tabs>
          <w:tab w:val="num" w:pos="4320"/>
        </w:tabs>
        <w:ind w:left="4320" w:hanging="180"/>
      </w:pPr>
    </w:lvl>
    <w:lvl w:ilvl="6" w:tplc="57641658" w:tentative="1">
      <w:start w:val="1"/>
      <w:numFmt w:val="decimal"/>
      <w:lvlText w:val="%7."/>
      <w:lvlJc w:val="left"/>
      <w:pPr>
        <w:tabs>
          <w:tab w:val="num" w:pos="5040"/>
        </w:tabs>
        <w:ind w:left="5040" w:hanging="360"/>
      </w:pPr>
    </w:lvl>
    <w:lvl w:ilvl="7" w:tplc="7780FC88" w:tentative="1">
      <w:start w:val="1"/>
      <w:numFmt w:val="lowerLetter"/>
      <w:lvlText w:val="%8."/>
      <w:lvlJc w:val="left"/>
      <w:pPr>
        <w:tabs>
          <w:tab w:val="num" w:pos="5760"/>
        </w:tabs>
        <w:ind w:left="5760" w:hanging="360"/>
      </w:pPr>
    </w:lvl>
    <w:lvl w:ilvl="8" w:tplc="8AD6BC3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54"/>
    <w:rsid w:val="000463F5"/>
    <w:rsid w:val="000E1C54"/>
    <w:rsid w:val="00D0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A4FE"/>
  <w15:chartTrackingRefBased/>
  <w15:docId w15:val="{613D4A27-17FB-41A3-B6E4-A969D01C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54"/>
    <w:pPr>
      <w:spacing w:after="120" w:line="240" w:lineRule="auto"/>
      <w:ind w:left="1418"/>
      <w:jc w:val="both"/>
    </w:pPr>
    <w:rPr>
      <w:rFonts w:ascii="Times New Roman" w:eastAsia="Times New Roman" w:hAnsi="Times New Roman" w:cs="Times New Roman"/>
      <w:sz w:val="24"/>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1C54"/>
    <w:pPr>
      <w:pBdr>
        <w:top w:val="single" w:sz="6" w:space="1" w:color="000000"/>
      </w:pBdr>
      <w:tabs>
        <w:tab w:val="left" w:pos="4819"/>
        <w:tab w:val="right" w:pos="9213"/>
      </w:tabs>
      <w:spacing w:before="120"/>
      <w:ind w:left="0"/>
    </w:pPr>
    <w:rPr>
      <w:rFonts w:ascii="Arial" w:hAnsi="Arial"/>
      <w:sz w:val="16"/>
    </w:rPr>
  </w:style>
  <w:style w:type="character" w:customStyle="1" w:styleId="FooterChar">
    <w:name w:val="Footer Char"/>
    <w:basedOn w:val="DefaultParagraphFont"/>
    <w:link w:val="Footer"/>
    <w:uiPriority w:val="99"/>
    <w:rsid w:val="000E1C54"/>
    <w:rPr>
      <w:rFonts w:ascii="Arial" w:eastAsia="Times New Roman" w:hAnsi="Arial" w:cs="Times New Roman"/>
      <w:sz w:val="16"/>
      <w:szCs w:val="20"/>
      <w:lang w:val="en-AU"/>
    </w:rPr>
  </w:style>
  <w:style w:type="paragraph" w:styleId="Header">
    <w:name w:val="header"/>
    <w:basedOn w:val="Normal"/>
    <w:link w:val="HeaderChar"/>
    <w:uiPriority w:val="99"/>
    <w:rsid w:val="000E1C54"/>
    <w:pPr>
      <w:spacing w:after="480"/>
      <w:ind w:left="0"/>
      <w:jc w:val="right"/>
    </w:pPr>
    <w:rPr>
      <w:rFonts w:ascii="Arial" w:hAnsi="Arial"/>
      <w:sz w:val="16"/>
    </w:rPr>
  </w:style>
  <w:style w:type="character" w:customStyle="1" w:styleId="HeaderChar">
    <w:name w:val="Header Char"/>
    <w:basedOn w:val="DefaultParagraphFont"/>
    <w:link w:val="Header"/>
    <w:uiPriority w:val="99"/>
    <w:rsid w:val="000E1C54"/>
    <w:rPr>
      <w:rFonts w:ascii="Arial" w:eastAsia="Times New Roman" w:hAnsi="Arial" w:cs="Times New Roman"/>
      <w:sz w:val="16"/>
      <w:szCs w:val="20"/>
      <w:lang w:val="en-AU"/>
    </w:rPr>
  </w:style>
  <w:style w:type="character" w:styleId="Hyperlink">
    <w:name w:val="Hyperlink"/>
    <w:rsid w:val="000E1C54"/>
    <w:rPr>
      <w:noProof w:val="0"/>
      <w:color w:val="0000FF"/>
      <w:u w:val="single"/>
      <w:lang w:val="en-AU"/>
    </w:rPr>
  </w:style>
  <w:style w:type="paragraph" w:customStyle="1" w:styleId="Annexure">
    <w:name w:val="Annexure"/>
    <w:basedOn w:val="Normal"/>
    <w:next w:val="Normal"/>
    <w:rsid w:val="000E1C54"/>
    <w:pPr>
      <w:pageBreakBefore/>
      <w:numPr>
        <w:numId w:val="1"/>
      </w:numPr>
      <w:pBdr>
        <w:top w:val="single" w:sz="12" w:space="6" w:color="auto"/>
      </w:pBdr>
      <w:spacing w:before="360"/>
      <w:ind w:left="357" w:hanging="357"/>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edback@seccom.com.m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norlailamohamad@bursamalaysia.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35"/>
    <w:rsid w:val="0024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B101D5EE484E86EF0916D62E55CD">
    <w:name w:val="94E5B101D5EE484E86EF0916D62E55CD"/>
    <w:rsid w:val="00243435"/>
  </w:style>
  <w:style w:type="paragraph" w:customStyle="1" w:styleId="FE5913899BFD45AA998F560A74F58AF2">
    <w:name w:val="FE5913899BFD45AA998F560A74F58AF2"/>
    <w:rsid w:val="0024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2647F-E46C-45D2-B989-5110333C5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A5DD57-8193-44E5-8582-F598E3695DF6}">
  <ds:schemaRefs>
    <ds:schemaRef ds:uri="http://schemas.microsoft.com/sharepoint/v3/contenttype/forms"/>
  </ds:schemaRefs>
</ds:datastoreItem>
</file>

<file path=customXml/itemProps3.xml><?xml version="1.0" encoding="utf-8"?>
<ds:datastoreItem xmlns:ds="http://schemas.openxmlformats.org/officeDocument/2006/customXml" ds:itemID="{2CCB8F48-B3B5-44D8-9914-DBF9769CB8F7}">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MHS1</dc:creator>
  <cp:keywords/>
  <dc:description/>
  <cp:lastModifiedBy>MHS1</cp:lastModifiedBy>
  <cp:revision>1</cp:revision>
  <dcterms:created xsi:type="dcterms:W3CDTF">2017-03-21T08:08:00Z</dcterms:created>
  <dcterms:modified xsi:type="dcterms:W3CDTF">2017-03-21T08:15:00Z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